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OGŁOSZENIE</w:t>
      </w:r>
    </w:p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  <w:br/>
        <w:t xml:space="preserve">o działalności leczniczej (tekst jedn.: Dz. U. z 2018 r., poz. 2190 z późn. zm.)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bCs/>
          <w:sz w:val="20"/>
          <w:szCs w:val="20"/>
        </w:rPr>
        <w:t>ogłasza konkurs ofert na: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1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bCs/>
          <w:color w:val="000000"/>
          <w:sz w:val="20"/>
          <w:szCs w:val="20"/>
        </w:rPr>
        <w:t xml:space="preserve">Świadczenie usług zdrowotnych w zakresie pediatrii w wymiarze </w:t>
      </w:r>
      <w:r>
        <w:rPr>
          <w:rFonts w:eastAsia="Calibri" w:cs="Arial" w:ascii="Arial" w:hAnsi="Arial"/>
          <w:bCs/>
          <w:sz w:val="20"/>
          <w:szCs w:val="20"/>
        </w:rPr>
        <w:t xml:space="preserve">maksymalnie 230 godzin/miesiąc, </w:t>
        <w:br/>
        <w:t xml:space="preserve">w tym: 5 dni w tygodniu, od poniedziałku do piątku w godzinach 8:00 – 14:00 wg harmonogramu oraz pełnienie dyżurów medycznych wg harmonogramu, 6 dyżurów na osobę (2 osoby)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2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bCs/>
          <w:sz w:val="20"/>
          <w:szCs w:val="20"/>
        </w:rPr>
        <w:t xml:space="preserve">Świadczenie usług zdrowotnych w zakresie pediatrii w wymiarze maksymalnie 230 godzin/miesiąc, </w:t>
        <w:br/>
        <w:t>w tym: 5 dni w tygodniu, od poniedziałku do piątku w godzinach 8:00 – 14:00 wg harmonogramu oraz pełnienie dyżurów medycznych wg harmonogramu, 6 dyżurów na osobę o</w:t>
      </w:r>
      <w:bookmarkStart w:id="0" w:name="__DdeLink__109909_3626390542"/>
      <w:r>
        <w:rPr>
          <w:rFonts w:eastAsia="Calibri" w:cs="Arial" w:ascii="Arial" w:hAnsi="Arial"/>
          <w:bCs/>
          <w:sz w:val="20"/>
          <w:szCs w:val="20"/>
        </w:rPr>
        <w:t>raz wykonywanie badań USG</w:t>
      </w:r>
      <w:bookmarkEnd w:id="0"/>
      <w:r>
        <w:rPr>
          <w:rFonts w:eastAsia="Calibri" w:cs="Arial" w:ascii="Arial" w:hAnsi="Arial"/>
          <w:bCs/>
          <w:sz w:val="20"/>
          <w:szCs w:val="20"/>
        </w:rPr>
        <w:t xml:space="preserve"> (1 osoba)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3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b w:val="false"/>
          <w:bCs/>
          <w:sz w:val="20"/>
          <w:szCs w:val="20"/>
          <w:lang w:eastAsia="pl-PL"/>
        </w:rPr>
        <w:t xml:space="preserve">Świadczenie usług zdrowotnych w zakresie pediatrii w wymiarze maksymalnie 230 godzin/miesiąc, </w:t>
        <w:br/>
        <w:t>w tym: 5 dni w tygodniu, od poniedziałku do piątku w godzinach 8:00 – 14:00 wg harmonogramu oraz pełnienie dyżurów medycznych wg harmonogramu, 6 dyżurów miesięcznie oraz wykonywanie badań USG, możliwość pracy w POZ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 xml:space="preserve"> w Przychodni</w:t>
      </w:r>
      <w:r>
        <w:rPr>
          <w:rFonts w:eastAsia="Calibri" w:cs="Arial" w:ascii="Arial" w:hAnsi="Arial"/>
          <w:b w:val="false"/>
          <w:bCs/>
          <w:sz w:val="20"/>
          <w:szCs w:val="20"/>
          <w:lang w:eastAsia="pl-PL"/>
        </w:rPr>
        <w:t xml:space="preserve"> w wymiarze maksymalnie 25 godzin</w:t>
      </w:r>
      <w:r>
        <w:rPr>
          <w:rFonts w:eastAsia="Calibri" w:cs="Arial" w:ascii="Arial" w:hAnsi="Arial"/>
          <w:b w:val="false"/>
          <w:bCs/>
          <w:color w:val="000000"/>
          <w:sz w:val="20"/>
          <w:szCs w:val="20"/>
          <w:lang w:eastAsia="pl-PL"/>
        </w:rPr>
        <w:t xml:space="preserve">/miesiąc (1 osoba)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  <w:bookmarkStart w:id="1" w:name="__DdeLink__132291_36263905421"/>
      <w:bookmarkStart w:id="2" w:name="__DdeLink__132291_36263905421"/>
      <w:bookmarkEnd w:id="2"/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Zamówienie będzie wykonywane w Siedzibie Udzielającego Zamówienia.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Opis Zamówienia: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harmonogram udzielania świadczeń będzie ustalany z upoważnionym przedstawicielem Udzielającego Zamówienia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zamówienie będzie wykonywane w okresie </w:t>
      </w:r>
      <w:r>
        <w:rPr>
          <w:rFonts w:cs="Arial" w:ascii="Arial" w:hAnsi="Arial"/>
          <w:b/>
          <w:bCs/>
          <w:sz w:val="20"/>
          <w:szCs w:val="20"/>
        </w:rPr>
        <w:t>24 miesięcy</w:t>
      </w:r>
      <w:r>
        <w:rPr>
          <w:rFonts w:cs="Arial" w:ascii="Arial" w:hAnsi="Arial"/>
          <w:bCs/>
          <w:sz w:val="20"/>
          <w:szCs w:val="20"/>
        </w:rPr>
        <w:t xml:space="preserve"> od daty obowiązywania umowy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CPV:</w:t>
      </w:r>
      <w:r>
        <w:rPr>
          <w:rFonts w:cs="Arial" w:ascii="Arial" w:hAnsi="Arial"/>
          <w:bCs/>
          <w:color w:val="auto"/>
          <w:sz w:val="20"/>
          <w:szCs w:val="20"/>
        </w:rPr>
        <w:t xml:space="preserve"> </w:t>
      </w: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0"/>
          <w:szCs w:val="20"/>
          <w:lang w:eastAsia="pl-PL"/>
        </w:rPr>
        <w:t>85121200-5 Specjalistyczne usługi medyczne, 85121291-9 Usługi pediatryczne,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eastAsia="Times New Roman" w:cs="Arial"/>
          <w:bCs/>
          <w:color w:val="FF0000"/>
          <w:sz w:val="20"/>
          <w:szCs w:val="20"/>
          <w:highlight w:val="yellow"/>
          <w:lang w:eastAsia="pl-PL"/>
        </w:rPr>
      </w:pPr>
      <w:r>
        <w:rPr>
          <w:rFonts w:eastAsia="Times New Roman" w:cs="Arial" w:ascii="Arial" w:hAnsi="Arial"/>
          <w:bCs/>
          <w:color w:val="FF0000"/>
          <w:sz w:val="20"/>
          <w:szCs w:val="20"/>
          <w:highlight w:val="yellow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cs="Arial" w:ascii="Arial" w:hAnsi="Arial"/>
          <w:bCs/>
          <w:sz w:val="20"/>
          <w:szCs w:val="20"/>
        </w:rPr>
        <w:t xml:space="preserve"> zgodnie z formularzem oferty.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stawiane Oferentom: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posiadanie specjalizacji zakresu pediatrii 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wymaganych prawem uprawnień do świadczenia usług lekarskich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cs="Arial" w:ascii="Arial" w:hAnsi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left="426" w:hanging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 oferty należy załączyć:</w:t>
      </w:r>
    </w:p>
    <w:p>
      <w:pPr>
        <w:pStyle w:val="Tretekstu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Arial;sans-serif" w:hAnsi="Arial;sans-serif" w:eastAsia="Calibri" w:cs="Arial"/>
          <w:b w:val="false"/>
          <w:b w:val="false"/>
          <w:i w:val="false"/>
          <w:i w:val="false"/>
          <w:caps w:val="false"/>
          <w:smallCaps w:val="false"/>
          <w:color w:val="2C363A"/>
          <w:spacing w:val="0"/>
          <w:sz w:val="18"/>
          <w:szCs w:val="16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2C363A"/>
          <w:spacing w:val="0"/>
          <w:sz w:val="18"/>
          <w:szCs w:val="16"/>
        </w:rPr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rFonts w:ascii="Arial;sans-serif" w:hAnsi="Arial;sans-serif" w:eastAsia="Calibri" w:cs="Arial"/>
          <w:b w:val="false"/>
          <w:b w:val="false"/>
          <w:i w:val="false"/>
          <w:i w:val="false"/>
          <w:caps w:val="false"/>
          <w:smallCaps w:val="false"/>
          <w:color w:val="2C363A"/>
          <w:spacing w:val="0"/>
          <w:sz w:val="18"/>
          <w:szCs w:val="16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a) </w:t>
        <w:tab/>
        <w:t>wypełniony i podpisany formularz ofertowy,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/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b) </w:t>
        <w:tab/>
        <w:t>kopie dokumentów potwierdzających uzyskanie wymaganych uprawnień, kopię prawa wykonywania zawodu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c) </w:t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18"/>
            <w:u w:val="none"/>
            <w:effect w:val="none"/>
          </w:rPr>
          <w:t>www.ceidg.gov.pl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 nie starszy niż 1 miesiąc licząc od daty złożenia oferty)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d) </w:t>
        <w:tab/>
        <w:t>kopię dyplomu ukończenia wyższej uczelni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e) </w:t>
        <w:tab/>
        <w:t>aktualną umowę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f) </w:t>
        <w:tab/>
        <w:t>aktualną umowę 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g) </w:t>
        <w:tab/>
        <w:t>aktualnego orzeczenia lekarza medycyny pracy o zdolności do wykonywania świadczeń zdrowotnych lub h)</w:t>
        <w:tab/>
        <w:t>pisemne zobowiązanie  do przedłożenia ww. w chwili podpisywania umowy.</w:t>
      </w:r>
    </w:p>
    <w:p>
      <w:pPr>
        <w:pStyle w:val="Tretekstu"/>
        <w:widowControl/>
        <w:bidi w:val="0"/>
        <w:spacing w:lineRule="auto" w:line="276" w:before="0" w:after="0"/>
        <w:ind w:left="340" w:right="0" w:hanging="0"/>
        <w:jc w:val="both"/>
        <w:rPr>
          <w:color w:val="auto"/>
        </w:rPr>
      </w:pPr>
      <w:r>
        <w:rPr>
          <w:rFonts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i) </w:t>
        <w:tab/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Dokonując wyboru najkorzystniejszej oferty Udzielający Zamówienia będzie kierował się kryterium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/>
          <w:bCs/>
          <w:i/>
          <w:sz w:val="20"/>
          <w:szCs w:val="20"/>
        </w:rPr>
        <w:t>„Konkurs ofert nr PZOZ/DZP/0705/29K/20”</w:t>
      </w:r>
      <w:r>
        <w:rPr>
          <w:rFonts w:cs="Arial" w:ascii="Arial" w:hAnsi="Arial"/>
          <w:b/>
          <w:bCs/>
          <w:sz w:val="20"/>
          <w:szCs w:val="20"/>
        </w:rPr>
        <w:t xml:space="preserve"> należy składać do dnia  </w:t>
      </w:r>
      <w:r>
        <w:rPr>
          <w:rFonts w:cs="Arial" w:ascii="Arial" w:hAnsi="Arial"/>
          <w:b/>
          <w:bCs/>
          <w:sz w:val="20"/>
          <w:szCs w:val="20"/>
        </w:rPr>
        <w:t>18</w:t>
      </w:r>
      <w:r>
        <w:rPr>
          <w:rFonts w:cs="Arial" w:ascii="Arial" w:hAnsi="Arial"/>
          <w:b/>
          <w:bCs/>
          <w:sz w:val="20"/>
          <w:szCs w:val="20"/>
        </w:rPr>
        <w:t xml:space="preserve"> listopada  2020 roku do godz. 10.00 </w:t>
      </w:r>
      <w:r>
        <w:rPr>
          <w:rFonts w:cs="Arial" w:ascii="Arial" w:hAnsi="Arial"/>
          <w:bCs/>
          <w:sz w:val="20"/>
          <w:szCs w:val="20"/>
        </w:rPr>
        <w:t xml:space="preserve">w siedzibie Udzielającego Zamówienia w Dziale Zamówień Publicznych, pok. 203.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Oferent jest związany ofertą do 30-go dnia od upływu terminu składania ofert. </w:t>
      </w:r>
      <w:bookmarkStart w:id="3" w:name="_GoBack"/>
      <w:bookmarkEnd w:id="3"/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20"/>
          <w:szCs w:val="20"/>
        </w:rPr>
        <w:t>30 dni od daty upływu terminu składania ofert</w:t>
      </w:r>
      <w:r>
        <w:rPr>
          <w:rFonts w:cs="Arial" w:ascii="Arial" w:hAnsi="Arial"/>
          <w:bCs/>
          <w:sz w:val="20"/>
          <w:szCs w:val="20"/>
        </w:rPr>
        <w:t xml:space="preserve"> podając nazwę i adres oferenta, który został wybrany.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20"/>
          <w:szCs w:val="20"/>
        </w:rPr>
        <w:t>Oferent ma prawo do składania: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pokój 203, </w:t>
      </w:r>
      <w:r>
        <w:rPr>
          <w:rFonts w:cs="Arial" w:ascii="Arial" w:hAnsi="Arial"/>
          <w:bCs/>
          <w:sz w:val="20"/>
          <w:szCs w:val="20"/>
        </w:rPr>
        <w:t xml:space="preserve">tel. </w:t>
        <w:br/>
      </w:r>
      <w:r>
        <w:rPr>
          <w:rFonts w:eastAsia="Calibri" w:cs="Arial" w:ascii="Arial" w:hAnsi="Arial"/>
          <w:color w:val="000000"/>
          <w:sz w:val="20"/>
          <w:szCs w:val="20"/>
        </w:rPr>
        <w:t>24 364 51 24</w:t>
      </w:r>
      <w:r>
        <w:rPr>
          <w:rFonts w:cs="Arial" w:ascii="Arial" w:hAnsi="Arial"/>
          <w:bCs/>
          <w:sz w:val="20"/>
          <w:szCs w:val="20"/>
        </w:rPr>
        <w:t xml:space="preserve">, w godzinach 07:30 – 15.05, Dagmara Bednarska, </w:t>
      </w:r>
      <w:r>
        <w:rPr>
          <w:rFonts w:cs="Arial" w:ascii="Arial" w:hAnsi="Arial"/>
          <w:bCs/>
          <w:sz w:val="20"/>
          <w:szCs w:val="20"/>
        </w:rPr>
        <w:t>Marta Mikulska.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802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ubuntu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/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/>
    </w:pPr>
    <w:r>
      <w:rPr>
        <w:rFonts w:cs="Arial" w:ascii="Arial" w:hAnsi="Arial"/>
        <w:i/>
        <w:sz w:val="18"/>
        <w:szCs w:val="18"/>
      </w:rPr>
      <w:t>PZOZ/DZP/0705/29K/20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i w:val="false"/>
        <w:b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b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d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Nagwek3">
    <w:name w:val="Heading 3"/>
    <w:basedOn w:val="Nagwek"/>
    <w:next w:val="Tretekstu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Arial"/>
      <w:i w:val="false"/>
      <w:color w:val="auto"/>
    </w:rPr>
  </w:style>
  <w:style w:type="character" w:styleId="ListLabel2" w:customStyle="1">
    <w:name w:val="ListLabel 2"/>
    <w:qFormat/>
    <w:rPr>
      <w:color w:val="auto"/>
    </w:rPr>
  </w:style>
  <w:style w:type="character" w:styleId="ListLabel3" w:customStyle="1">
    <w:name w:val="ListLabel 3"/>
    <w:qFormat/>
    <w:rPr>
      <w:sz w:val="20"/>
      <w:szCs w:val="20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ascii="Arial" w:hAnsi="Arial"/>
      <w:sz w:val="16"/>
      <w:szCs w:val="20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b/>
    </w:rPr>
  </w:style>
  <w:style w:type="character" w:styleId="ListLabel20" w:customStyle="1">
    <w:name w:val="ListLabel 2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21" w:customStyle="1">
    <w:name w:val="ListLabel 21"/>
    <w:qFormat/>
    <w:rPr>
      <w:rFonts w:ascii="Arial" w:hAnsi="Arial"/>
      <w:b/>
      <w:color w:val="auto"/>
      <w:sz w:val="20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i w:val="false"/>
    </w:rPr>
  </w:style>
  <w:style w:type="character" w:styleId="ListLabel26" w:customStyle="1">
    <w:name w:val="ListLabel 26"/>
    <w:qFormat/>
    <w:rPr>
      <w:color w:val="auto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>
    <w:name w:val="ListLabel 42"/>
    <w:qFormat/>
    <w:rPr>
      <w:rFonts w:ascii="Arial" w:hAnsi="Arial"/>
      <w:sz w:val="16"/>
      <w:szCs w:val="20"/>
    </w:rPr>
  </w:style>
  <w:style w:type="character" w:styleId="ListLabel43">
    <w:name w:val="ListLabel 43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44">
    <w:name w:val="ListLabel 44"/>
    <w:qFormat/>
    <w:rPr>
      <w:rFonts w:ascii="Arial" w:hAnsi="Arial"/>
      <w:b/>
      <w:color w:val="auto"/>
      <w:sz w:val="20"/>
    </w:rPr>
  </w:style>
  <w:style w:type="character" w:styleId="ListLabel45">
    <w:name w:val="ListLabel 45"/>
    <w:qFormat/>
    <w:rPr>
      <w:rFonts w:ascii="Arial" w:hAnsi="Arial" w:cs="Symbol"/>
      <w:b/>
      <w:sz w:val="20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ascii="Arial" w:hAnsi="Arial"/>
      <w:sz w:val="16"/>
      <w:szCs w:val="20"/>
    </w:rPr>
  </w:style>
  <w:style w:type="character" w:styleId="ListLabel55">
    <w:name w:val="ListLabel 55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56">
    <w:name w:val="ListLabel 56"/>
    <w:qFormat/>
    <w:rPr>
      <w:rFonts w:ascii="Arial" w:hAnsi="Arial"/>
      <w:b/>
      <w:color w:val="auto"/>
      <w:sz w:val="20"/>
    </w:rPr>
  </w:style>
  <w:style w:type="character" w:styleId="ListLabel57">
    <w:name w:val="ListLabel 57"/>
    <w:qFormat/>
    <w:rPr>
      <w:rFonts w:cs="Symbol"/>
      <w:b/>
      <w:sz w:val="20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character" w:styleId="ListLabel66">
    <w:name w:val="ListLabel 66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67">
    <w:name w:val="ListLabel 67"/>
    <w:qFormat/>
    <w:rPr>
      <w:rFonts w:ascii="Arial" w:hAnsi="Arial"/>
      <w:b/>
      <w:color w:val="auto"/>
      <w:sz w:val="20"/>
    </w:rPr>
  </w:style>
  <w:style w:type="character" w:styleId="ListLabel68">
    <w:name w:val="ListLabel 68"/>
    <w:qFormat/>
    <w:rPr>
      <w:rFonts w:cs="Symbol"/>
      <w:b/>
      <w:sz w:val="20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character" w:styleId="ListLabel78">
    <w:name w:val="ListLabel 78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79">
    <w:name w:val="ListLabel 79"/>
    <w:qFormat/>
    <w:rPr>
      <w:rFonts w:ascii="Arial" w:hAnsi="Arial"/>
      <w:b/>
      <w:color w:val="auto"/>
      <w:sz w:val="20"/>
    </w:rPr>
  </w:style>
  <w:style w:type="character" w:styleId="ListLabel80">
    <w:name w:val="ListLabel 80"/>
    <w:qFormat/>
    <w:rPr>
      <w:rFonts w:cs="Symbol"/>
      <w:b/>
      <w:sz w:val="20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character" w:styleId="ListLabel90">
    <w:name w:val="ListLabel 9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91">
    <w:name w:val="ListLabel 91"/>
    <w:qFormat/>
    <w:rPr>
      <w:rFonts w:ascii="Arial" w:hAnsi="Arial"/>
      <w:b/>
      <w:color w:val="auto"/>
      <w:sz w:val="20"/>
    </w:rPr>
  </w:style>
  <w:style w:type="character" w:styleId="ListLabel92">
    <w:name w:val="ListLabel 92"/>
    <w:qFormat/>
    <w:rPr>
      <w:rFonts w:cs="Symbol"/>
      <w:b/>
      <w:sz w:val="20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character" w:styleId="ListLabel102">
    <w:name w:val="ListLabel 102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103">
    <w:name w:val="ListLabel 103"/>
    <w:qFormat/>
    <w:rPr>
      <w:rFonts w:ascii="Arial" w:hAnsi="Arial"/>
      <w:b/>
      <w:color w:val="auto"/>
      <w:sz w:val="20"/>
    </w:rPr>
  </w:style>
  <w:style w:type="character" w:styleId="ListLabel104">
    <w:name w:val="ListLabel 104"/>
    <w:qFormat/>
    <w:rPr>
      <w:rFonts w:cs="Symbol"/>
      <w:b/>
      <w:sz w:val="20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character" w:styleId="ListLabel114">
    <w:name w:val="ListLabel 114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115">
    <w:name w:val="ListLabel 115"/>
    <w:qFormat/>
    <w:rPr>
      <w:rFonts w:ascii="Arial" w:hAnsi="Arial"/>
      <w:b/>
      <w:color w:val="auto"/>
      <w:sz w:val="20"/>
    </w:rPr>
  </w:style>
  <w:style w:type="character" w:styleId="ListLabel116">
    <w:name w:val="ListLabel 116"/>
    <w:qFormat/>
    <w:rPr>
      <w:rFonts w:cs="Symbol"/>
      <w:b/>
      <w:sz w:val="20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next w:val="Tretekstu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6BEC-B1D6-476C-8557-3460C2EE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7141</TotalTime>
  <Application>LibreOffice/6.2.2.2$Windows_x86 LibreOffice_project/2b840030fec2aae0fd2658d8d4f9548af4e3518d</Application>
  <Pages>2</Pages>
  <Words>796</Words>
  <Characters>5154</Characters>
  <CharactersWithSpaces>5923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2014-03-31T06:41:00Z</dcterms:created>
  <dc:creator>Kinga Lewandowska</dc:creator>
  <dc:description/>
  <dc:language>pl-PL</dc:language>
  <cp:lastModifiedBy/>
  <cp:lastPrinted>2020-11-02T12:06:28Z</cp:lastPrinted>
  <dcterms:modified xsi:type="dcterms:W3CDTF">2020-11-10T11:59:54Z</dcterms:modified>
  <cp:revision>316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