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w:t>
      </w:r>
      <w:r>
        <w:rPr>
          <w:rFonts w:eastAsia="Calibri" w:cs="Arial" w:ascii="Arial" w:hAnsi="Arial" w:eastAsiaTheme="minorHAnsi"/>
          <w:color w:val="auto"/>
          <w:kern w:val="0"/>
          <w:sz w:val="20"/>
          <w:szCs w:val="20"/>
          <w:lang w:val="pl-PL" w:eastAsia="en-US" w:bidi="ar-SA"/>
        </w:rPr>
        <w:t>20</w:t>
      </w:r>
      <w:r>
        <w:rPr>
          <w:rFonts w:cs="Arial" w:ascii="Arial" w:hAnsi="Arial"/>
          <w:sz w:val="20"/>
          <w:szCs w:val="20"/>
        </w:rPr>
        <w:t xml:space="preserve"> r., poz. </w:t>
      </w:r>
      <w:r>
        <w:rPr>
          <w:rFonts w:eastAsia="Calibri" w:cs="Arial" w:ascii="Arial" w:hAnsi="Arial" w:eastAsiaTheme="minorHAnsi"/>
          <w:color w:val="auto"/>
          <w:kern w:val="0"/>
          <w:sz w:val="20"/>
          <w:szCs w:val="20"/>
          <w:lang w:val="pl-PL" w:eastAsia="en-US" w:bidi="ar-SA"/>
        </w:rPr>
        <w:t>295</w:t>
      </w:r>
      <w:r>
        <w:rPr>
          <w:rFonts w:cs="Arial" w:ascii="Arial" w:hAnsi="Arial"/>
          <w:sz w:val="20"/>
          <w:szCs w:val="20"/>
        </w:rPr>
        <w:t xml:space="preserve"> z późn. zm.) w związku z art.  140, art. 141, art. 146 ust 1, art. 147-150, art. 151 ust. 1-2 i 4-6, art. 152, art. 153, i art. 154 ust. 1 i 2 ustawy z dnia 27 sierpnia 2004 roku o świadczeniach opieki zdrowotnej finansowanych ze środków publicznych (tekst jedn.: Dz. U. z 20</w:t>
      </w:r>
      <w:r>
        <w:rPr>
          <w:rFonts w:eastAsia="Calibri" w:cs="Arial" w:ascii="Arial" w:hAnsi="Arial" w:eastAsiaTheme="minorHAnsi"/>
          <w:color w:val="auto"/>
          <w:kern w:val="0"/>
          <w:sz w:val="20"/>
          <w:szCs w:val="20"/>
          <w:lang w:val="pl-PL" w:eastAsia="en-US" w:bidi="ar-SA"/>
        </w:rPr>
        <w:t>20</w:t>
      </w:r>
      <w:r>
        <w:rPr>
          <w:rFonts w:cs="Arial" w:ascii="Arial" w:hAnsi="Arial"/>
          <w:sz w:val="20"/>
          <w:szCs w:val="20"/>
        </w:rPr>
        <w:t xml:space="preserve"> r., poz.</w:t>
      </w:r>
      <w:r>
        <w:rPr>
          <w:rFonts w:eastAsia="Calibri" w:cs="Arial" w:ascii="Arial" w:hAnsi="Arial" w:eastAsiaTheme="minorHAnsi"/>
          <w:color w:val="auto"/>
          <w:kern w:val="0"/>
          <w:sz w:val="20"/>
          <w:szCs w:val="20"/>
          <w:lang w:val="pl-PL" w:eastAsia="en-US" w:bidi="ar-SA"/>
        </w:rPr>
        <w:t>1398  z późn.zm.</w:t>
      </w:r>
      <w:r>
        <w:rPr>
          <w:rFonts w:cs="Arial" w:ascii="Arial" w:hAnsi="Arial"/>
          <w:sz w:val="20"/>
          <w:szCs w:val="20"/>
        </w:rPr>
        <w:t>)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 ryczałt)</w:t>
      </w:r>
      <w:r>
        <w:rPr>
          <w:rFonts w:eastAsia="Calibri" w:cs="Arial" w:ascii="Arial" w:hAnsi="Arial"/>
          <w:bCs/>
          <w:sz w:val="20"/>
          <w:szCs w:val="20"/>
        </w:rPr>
        <w:t xml:space="preserve"> *o ile dotyczy.</w:t>
      </w:r>
    </w:p>
    <w:p>
      <w:pPr>
        <w:pStyle w:val="ListParagraph"/>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ListParagraph"/>
        <w:widowControl/>
        <w:suppressAutoHyphens w:val="true"/>
        <w:bidi w:val="0"/>
        <w:spacing w:lineRule="auto" w:line="240" w:before="120" w:after="0"/>
        <w:ind w:left="0" w:right="0" w:hanging="0"/>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przypadku zlecenia przez Przyjmującego Zamówienie następujących badań kosztochłonnych: </w:t>
      </w:r>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1. Mammografia, </w:t>
      </w:r>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2. Doppler kończyn dolnych/naczyń krwionośnych, </w:t>
      </w:r>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3. GDX </w:t>
      </w:r>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wynagrodzenie Przyjmującego Zamówienie zostaje pomniejszone o równowartość: </w:t>
      </w:r>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0" w:after="0"/>
        <w:ind w:left="426" w:hanging="0"/>
        <w:jc w:val="both"/>
        <w:rPr>
          <w:rFonts w:ascii="Arial" w:hAnsi="Arial" w:eastAsia="Calibri" w:cs="Arial"/>
          <w:sz w:val="20"/>
          <w:szCs w:val="20"/>
        </w:rPr>
      </w:pPr>
      <w:r>
        <w:rPr>
          <w:rFonts w:eastAsia="Calibri" w:cs="Arial" w:ascii="Arial" w:hAnsi="Arial"/>
          <w:sz w:val="20"/>
          <w:szCs w:val="20"/>
        </w:rPr>
        <w:t xml:space="preserve">1a) mammografia 1 piersi – 60 punktów NFZ x stawka Przyjmującego Zamówienie za punkt </w:t>
      </w:r>
    </w:p>
    <w:p>
      <w:pPr>
        <w:pStyle w:val="Normal"/>
        <w:spacing w:lineRule="auto" w:line="240" w:before="0" w:after="0"/>
        <w:ind w:left="426" w:hanging="0"/>
        <w:jc w:val="both"/>
        <w:rPr>
          <w:rFonts w:ascii="Arial" w:hAnsi="Arial" w:eastAsia="Calibri" w:cs="Arial"/>
          <w:sz w:val="20"/>
          <w:szCs w:val="20"/>
        </w:rPr>
      </w:pPr>
      <w:r>
        <w:rPr>
          <w:rFonts w:eastAsia="Calibri" w:cs="Arial" w:ascii="Arial" w:hAnsi="Arial"/>
          <w:sz w:val="20"/>
          <w:szCs w:val="20"/>
        </w:rPr>
        <w:t>1b) mammografia 2 piersi – 90 punktów NFZ x stawka Przyjmującego Zamówienie za punkt.</w:t>
      </w:r>
    </w:p>
    <w:p>
      <w:pPr>
        <w:pStyle w:val="Normal"/>
        <w:spacing w:lineRule="auto" w:line="240" w:before="0" w:after="0"/>
        <w:ind w:left="426" w:hanging="0"/>
        <w:jc w:val="both"/>
        <w:rPr>
          <w:rFonts w:ascii="Arial" w:hAnsi="Arial" w:eastAsia="Calibri" w:cs="Arial"/>
          <w:sz w:val="20"/>
          <w:szCs w:val="20"/>
        </w:rPr>
      </w:pPr>
      <w:r>
        <w:rPr>
          <w:rFonts w:cs="Arial" w:ascii="Arial" w:hAnsi="Arial"/>
          <w:sz w:val="20"/>
          <w:szCs w:val="20"/>
        </w:rPr>
        <w:t xml:space="preserve">2. </w:t>
      </w:r>
      <w:r>
        <w:rPr>
          <w:rFonts w:eastAsia="Calibri" w:cs="Arial" w:ascii="Arial" w:hAnsi="Arial"/>
          <w:sz w:val="20"/>
          <w:szCs w:val="20"/>
        </w:rPr>
        <w:t>Doppler kończyn / naczyń krwionośnych – 60 punktów NFZ x stawka Przyjmującego Zamówienie za punkt.</w:t>
      </w:r>
    </w:p>
    <w:p>
      <w:pPr>
        <w:pStyle w:val="Normal"/>
        <w:spacing w:lineRule="auto" w:line="240" w:before="0" w:after="0"/>
        <w:ind w:left="454" w:right="0" w:hanging="0"/>
        <w:jc w:val="both"/>
        <w:rPr>
          <w:rFonts w:ascii="Arial" w:hAnsi="Arial" w:eastAsia="Calibri" w:cs="Arial"/>
          <w:sz w:val="20"/>
          <w:szCs w:val="20"/>
        </w:rPr>
      </w:pPr>
      <w:r>
        <w:rPr>
          <w:rFonts w:eastAsia="Calibri" w:cs="Arial" w:ascii="Arial" w:hAnsi="Arial"/>
          <w:sz w:val="20"/>
          <w:szCs w:val="20"/>
        </w:rPr>
        <w:t xml:space="preserve">3. GDX – 60 punktów NFZ x stawka Przyjmującego Zamówienie za punkt. </w:t>
      </w:r>
    </w:p>
    <w:p>
      <w:pPr>
        <w:pStyle w:val="ListParagraph"/>
        <w:widowControl/>
        <w:tabs>
          <w:tab w:val="clear" w:pos="708"/>
          <w:tab w:val="left" w:pos="426" w:leader="none"/>
        </w:tabs>
        <w:suppressAutoHyphens w:val="true"/>
        <w:bidi w:val="0"/>
        <w:spacing w:lineRule="auto" w:line="240" w:before="120" w:after="0"/>
        <w:ind w:left="0" w:right="0" w:hanging="0"/>
        <w:contextualSpacing/>
        <w:jc w:val="both"/>
        <w:rPr>
          <w:rFonts w:ascii="Arial" w:hAnsi="Arial" w:eastAsia="Times New Roman" w:cs="Arial"/>
          <w:b/>
          <w:b/>
          <w:bCs/>
          <w:sz w:val="20"/>
          <w:szCs w:val="20"/>
          <w:lang w:eastAsia="pl-PL"/>
        </w:rPr>
      </w:pPr>
      <w:r>
        <w:rPr>
          <w:rFonts w:eastAsia="Calibri" w:cs="Arial" w:ascii="Arial" w:hAnsi="Arial"/>
          <w:sz w:val="20"/>
          <w:szCs w:val="20"/>
        </w:rPr>
        <w:t>Zapis ten nie obowiązuje jeżeli Przyjmujący Zamówienie wykonuje samodzielnie te badania bez obciążania za nie PZOZ. Pomniejszenie wynagrodzenia Przyjmującego Zamówienia nastąpi w kolejnym okresie rozliczeniowym, po uprzednim dostarczeniu przez PZOZ informacji o ilości zleconych przez Przyjmującego Zamówienia wymienionych wyżej badań.</w:t>
      </w:r>
    </w:p>
    <w:p>
      <w:pPr>
        <w:pStyle w:val="ListParagraph"/>
        <w:tabs>
          <w:tab w:val="clear" w:pos="708"/>
          <w:tab w:val="left" w:pos="426" w:leader="none"/>
        </w:tabs>
        <w:spacing w:lineRule="auto" w:line="240" w:before="120" w:after="0"/>
        <w:ind w:left="720" w:hanging="0"/>
        <w:contextualSpacing/>
        <w:jc w:val="both"/>
        <w:rPr/>
      </w:pPr>
      <w:r>
        <w:rPr/>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w:t>
      </w:r>
      <w:r>
        <w:rPr>
          <w:rFonts w:eastAsia="Calibri" w:cs="Arial" w:ascii="Arial" w:hAnsi="Arial" w:eastAsiaTheme="minorHAnsi"/>
          <w:color w:val="auto"/>
          <w:kern w:val="0"/>
          <w:sz w:val="20"/>
          <w:szCs w:val="20"/>
          <w:lang w:val="pl-PL" w:eastAsia="en-US" w:bidi="ar-SA"/>
        </w:rPr>
        <w:t>20</w:t>
      </w:r>
      <w:r>
        <w:rPr>
          <w:rFonts w:eastAsia="Calibri" w:cs="Arial" w:ascii="Arial" w:hAnsi="Arial"/>
          <w:sz w:val="20"/>
          <w:szCs w:val="20"/>
        </w:rPr>
        <w:t xml:space="preserve"> r., poz. </w:t>
      </w:r>
      <w:r>
        <w:rPr>
          <w:rFonts w:eastAsia="Calibri" w:cs="Arial" w:ascii="Arial" w:hAnsi="Arial" w:eastAsiaTheme="minorHAnsi"/>
          <w:color w:val="auto"/>
          <w:kern w:val="0"/>
          <w:sz w:val="20"/>
          <w:szCs w:val="20"/>
          <w:lang w:val="pl-PL" w:eastAsia="en-US" w:bidi="ar-SA"/>
        </w:rPr>
        <w:t>295</w:t>
      </w:r>
      <w:r>
        <w:rPr>
          <w:rFonts w:eastAsia="Calibri" w:cs="Arial" w:ascii="Arial" w:hAnsi="Arial"/>
          <w:sz w:val="20"/>
          <w:szCs w:val="20"/>
        </w:rPr>
        <w:t xml:space="preserve">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r>
        <w:br w:type="page"/>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Layout w:type="fixed"/>
        <w:tblCellMar>
          <w:top w:w="0" w:type="dxa"/>
          <w:left w:w="70" w:type="dxa"/>
          <w:bottom w:w="0" w:type="dxa"/>
          <w:right w:w="70" w:type="dxa"/>
        </w:tblCellMar>
        <w:tblLook w:firstRow="1" w:noVBand="1" w:lastRow="0" w:firstColumn="1" w:lastColumn="0" w:noHBand="0" w:val="04a0"/>
      </w:tblPr>
      <w:tblGrid>
        <w:gridCol w:w="578"/>
        <w:gridCol w:w="1868"/>
        <w:gridCol w:w="2275"/>
        <w:gridCol w:w="2301"/>
        <w:gridCol w:w="2332"/>
      </w:tblGrid>
      <w:tr>
        <w:trPr>
          <w:trHeight w:val="535" w:hRule="atLeast"/>
        </w:trPr>
        <w:tc>
          <w:tcPr>
            <w:tcW w:w="5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36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tabs>
          <w:tab w:val="num" w:pos="0"/>
        </w:tabs>
        <w:ind w:left="786" w:hanging="360"/>
      </w:pPr>
      <w:rPr>
        <w:sz w:val="20"/>
        <w:b/>
        <w:rFonts w:ascii="Arial" w:hAnsi="Arial" w:eastAsia="Calibri"/>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revisionView w:insDel="0" w:formatting="0"/>
  <w:trackRevisio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LibreOffice/7.0.3.1$Windows_X86_64 LibreOffice_project/d7547858d014d4cf69878db179d326fc3483e082</Application>
  <Pages>8</Pages>
  <Words>3141</Words>
  <Characters>21589</Characters>
  <CharactersWithSpaces>24588</CharactersWithSpaces>
  <Paragraphs>150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2020-12-17T15:09:57Z</cp:lastPrinted>
  <dcterms:modified xsi:type="dcterms:W3CDTF">2020-12-17T15:11:25Z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